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Checklist rápido para manejar berrinches</w:t>
      </w:r>
    </w:p>
    <w:p>
      <w:pPr>
        <w:pStyle w:val="ListBullet"/>
      </w:pPr>
      <w:r>
        <w:t>Antes de salir: snack, pañal/baño, cambio de actividad planificado.</w:t>
      </w:r>
    </w:p>
    <w:p>
      <w:pPr>
        <w:pStyle w:val="ListBullet"/>
      </w:pPr>
      <w:r>
        <w:t>Durante la salida: 2 opciones aceptables que el niño puede elegir.</w:t>
      </w:r>
    </w:p>
    <w:p>
      <w:pPr>
        <w:pStyle w:val="ListBullet"/>
      </w:pPr>
      <w:r>
        <w:t>Si estalla un berrinche: seguridad → calma → empatía → alternativa → refuerzo.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