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40"/>
        </w:rPr>
        <w:t>Checklist: Cómo Superar el Síndrome del Nido Vacío</w:t>
      </w:r>
    </w:p>
    <w:p>
      <w:r>
        <w:rPr>
          <w:rFonts w:ascii="Calibri" w:hAnsi="Calibri"/>
          <w:sz w:val="22"/>
        </w:rPr>
        <w:t>Objetivo: pasos prácticos para sentirte mejor, reorganizar tu vida y aprovechar tu nueva etapa después de que tus hijos se independizan.</w:t>
      </w:r>
    </w:p>
    <w:p>
      <w:r>
        <w:rPr>
          <w:rFonts w:ascii="Calibri" w:hAnsi="Calibri"/>
          <w:b/>
          <w:sz w:val="26"/>
        </w:rPr>
        <w:t>1) Mantén la conexión con tus hijos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Acordar la frecuencia de llamadas / videollamadas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Usar mensajes y videollamadas sin invadir su espacio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Enviar cartas o pequeños detalles / comidas caseras</w:t>
      </w:r>
    </w:p>
    <w:p>
      <w:r>
        <w:rPr>
          <w:rFonts w:ascii="Calibri" w:hAnsi="Calibri"/>
          <w:b/>
          <w:sz w:val="26"/>
        </w:rPr>
        <w:t>2) Reconoce tus logros como padre/madre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Reflexionar: criaste a un adulto autónomo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Darte permiso para sentir y procesar emociones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Celebrar los años de crianza como un éxito personal</w:t>
      </w:r>
    </w:p>
    <w:p>
      <w:r>
        <w:rPr>
          <w:rFonts w:ascii="Calibri" w:hAnsi="Calibri"/>
          <w:b/>
          <w:sz w:val="26"/>
        </w:rPr>
        <w:t>3) Invierte en tu relación de pareja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Planear una salida o viaje en pareja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Retomar un hobby compartido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Conversación diaria sin hablar solo de los hijos</w:t>
      </w:r>
    </w:p>
    <w:p>
      <w:r>
        <w:rPr>
          <w:rFonts w:ascii="Calibri" w:hAnsi="Calibri"/>
          <w:b/>
          <w:sz w:val="26"/>
        </w:rPr>
        <w:t>4) Rediseña tus espacios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Reorganizar habitación vacía (despacho, sala de lectura, ocio)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Donar o vender muebles que ya no usas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Redecorar para generar sensación de frescura y motivación</w:t>
      </w:r>
    </w:p>
    <w:p>
      <w:r>
        <w:rPr>
          <w:rFonts w:ascii="Calibri" w:hAnsi="Calibri"/>
          <w:b/>
          <w:sz w:val="26"/>
        </w:rPr>
        <w:t>5) Activa tus sueños personales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Hacer lista de metas postergadas (idiomas, viajes, proyectos)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Reservar tiempo semanal para una actividad nueva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Fijar metas pequeñas y alcanzables a corto plazo</w:t>
      </w:r>
    </w:p>
    <w:p>
      <w:r>
        <w:rPr>
          <w:rFonts w:ascii="Calibri" w:hAnsi="Calibri"/>
          <w:b/>
          <w:sz w:val="26"/>
        </w:rPr>
        <w:t>6) Acepta tu nuevo rol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Asumir el rol de guía y mentor, no de cuidador principal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Permitir decisiones y aprendizajes propios en tus hijos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Transmitir confianza en su capacidad de independencia</w:t>
      </w:r>
    </w:p>
    <w:p>
      <w:r>
        <w:rPr>
          <w:rFonts w:ascii="Calibri" w:hAnsi="Calibri"/>
          <w:b/>
          <w:sz w:val="26"/>
        </w:rPr>
        <w:t>7) Cuida al resto de hijos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Conversar con los hijos menores sobre la partida del hermano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Elegir una actividad compartida para fortalecer el vínculo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Actualizar o redecorar su cuarto para reforzar independencia</w:t>
      </w:r>
    </w:p>
    <w:p>
      <w:r>
        <w:rPr>
          <w:rFonts w:ascii="Calibri" w:hAnsi="Calibri"/>
          <w:b/>
          <w:sz w:val="26"/>
        </w:rPr>
        <w:t>8) Revisa tus finanzas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Actualizar tu presupuesto mensual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Definir destino para los ahorros extra</w:t>
      </w:r>
    </w:p>
    <w:p>
      <w:pPr>
        <w:pStyle w:val="ListParagraph"/>
      </w:pPr>
      <w:r>
        <w:rPr>
          <w:rFonts w:ascii="Calibri" w:hAnsi="Calibri"/>
          <w:sz w:val="22"/>
        </w:rPr>
        <w:t xml:space="preserve">☐ </w:t>
      </w:r>
      <w:r>
        <w:rPr>
          <w:rFonts w:ascii="Calibri" w:hAnsi="Calibri"/>
          <w:sz w:val="22"/>
        </w:rPr>
        <w:t>Valorar inversiones en bienestar o mejoras del hogar</w:t>
      </w:r>
    </w:p>
    <w:p>
      <w:r>
        <w:rPr>
          <w:rFonts w:ascii="Calibri" w:hAnsi="Calibri"/>
          <w:i/>
          <w:sz w:val="20"/>
        </w:rPr>
        <w:t>Nota: Si los síntomas persisten por más de 6 meses o afectan gravemente tu vida diaria, busca ayuda profesional (psicólogo o terapeuta).</w:t>
      </w:r>
    </w:p>
    <w:p>
      <w:r>
        <w:rPr>
          <w:rFonts w:ascii="Calibri" w:hAnsi="Calibri"/>
          <w:sz w:val="18"/>
        </w:rPr>
        <w:t>Plaza‑Family.com | Comportamiento Adulto y Bienestar Familiar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